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E054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附件1</w:t>
      </w:r>
    </w:p>
    <w:p w14:paraId="366850E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仿宋_GB2312" w:cs="方正仿宋_GB2312"/>
          <w:b/>
          <w:bCs/>
          <w:sz w:val="36"/>
          <w:szCs w:val="36"/>
          <w:lang w:val="en-US" w:eastAsia="zh-CN"/>
        </w:rPr>
      </w:pPr>
    </w:p>
    <w:p w14:paraId="3B9C1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rPr>
        <w:t>低空经济智慧学习工场/工信国际低空经济产业学院项目方案</w:t>
      </w:r>
      <w:r>
        <w:rPr>
          <w:rFonts w:hint="eastAsia" w:ascii="Times New Roman" w:hAnsi="Times New Roman"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lang w:val="en-US" w:eastAsia="zh-CN"/>
        </w:rPr>
        <w:t>普通本科院校）</w:t>
      </w:r>
    </w:p>
    <w:p w14:paraId="0D27E5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p>
    <w:p w14:paraId="309EC3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0"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lang w:val="en-US" w:eastAsia="zh-CN"/>
        </w:rPr>
        <w:t>项目由教育部学校规划建设发展中心联合工业和信息化部国际经济技术合作中心发起，由在低空经济教育领域具备深厚技术与资源积累的玄度时空云教育科技（北京）有限公司作为核心企业合作方，具体负责课程体系开发、实训平台建设、技术资源导入及日常运营协同。采用“校企共建、共同管理、协同育人”的模式，推动产业学院实体化、高质量运行。</w:t>
      </w:r>
    </w:p>
    <w:p w14:paraId="08A73C9E">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一、建设目标</w:t>
      </w:r>
    </w:p>
    <w:p w14:paraId="200505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通过3-5年的系统化建设，本项目旨在达成以下核心目标：</w:t>
      </w:r>
    </w:p>
    <w:p w14:paraId="442D6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构建分层分类的人才培养新体系：</w:t>
      </w:r>
      <w:r>
        <w:rPr>
          <w:rFonts w:hint="eastAsia" w:ascii="Times New Roman" w:hAnsi="Times New Roman" w:eastAsia="仿宋_GB2312" w:cs="仿宋_GB2312"/>
          <w:kern w:val="2"/>
          <w:sz w:val="32"/>
          <w:szCs w:val="32"/>
          <w:lang w:val="en-US" w:eastAsia="zh-CN" w:bidi="ar-SA"/>
          <w14:ligatures w14:val="standardContextual"/>
        </w:rPr>
        <w:t>聚焦产业链上游的技术创新、系统研发、中高层运营管理岗位。培养能解决复杂技术问题、进行多学科交叉应用、具备项目管理与战略视野的工程师、研发人员与管理者</w:t>
      </w:r>
      <w:r>
        <w:rPr>
          <w:rFonts w:hint="eastAsia" w:ascii="Times New Roman" w:hAnsi="Times New Roman" w:eastAsia="仿宋_GB2312" w:cs="仿宋_GB2312"/>
          <w:sz w:val="32"/>
          <w:szCs w:val="32"/>
        </w:rPr>
        <w:t>。</w:t>
      </w:r>
    </w:p>
    <w:p w14:paraId="63C76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打造一</w:t>
      </w:r>
      <w:r>
        <w:rPr>
          <w:rFonts w:hint="eastAsia" w:ascii="Times New Roman" w:hAnsi="Times New Roman" w:eastAsia="仿宋_GB2312" w:cs="仿宋_GB2312"/>
          <w:sz w:val="32"/>
          <w:szCs w:val="32"/>
          <w:highlight w:val="none"/>
        </w:rPr>
        <w:t>批</w:t>
      </w:r>
      <w:r>
        <w:rPr>
          <w:rFonts w:hint="eastAsia" w:ascii="Times New Roman" w:hAnsi="Times New Roman" w:eastAsia="仿宋_GB2312" w:cs="仿宋_GB2312"/>
          <w:sz w:val="32"/>
          <w:szCs w:val="32"/>
          <w:highlight w:val="none"/>
          <w:lang w:val="en-US" w:eastAsia="zh-CN"/>
        </w:rPr>
        <w:t>高水平</w:t>
      </w:r>
      <w:r>
        <w:rPr>
          <w:rFonts w:hint="eastAsia" w:ascii="Times New Roman" w:hAnsi="Times New Roman" w:eastAsia="仿宋_GB2312" w:cs="仿宋_GB2312"/>
          <w:sz w:val="32"/>
          <w:szCs w:val="32"/>
          <w:highlight w:val="none"/>
        </w:rPr>
        <w:t>产教融合实体：在全国重点区域和支持领域，遴选建设约20-30个特色鲜明、运行高效、</w:t>
      </w:r>
      <w:r>
        <w:rPr>
          <w:rFonts w:hint="eastAsia" w:ascii="Times New Roman" w:hAnsi="Times New Roman" w:eastAsia="仿宋_GB2312" w:cs="仿宋_GB2312"/>
          <w:sz w:val="32"/>
          <w:szCs w:val="32"/>
          <w:highlight w:val="none"/>
          <w:lang w:val="en-US" w:eastAsia="zh-CN"/>
        </w:rPr>
        <w:t>代表性</w:t>
      </w:r>
      <w:r>
        <w:rPr>
          <w:rFonts w:hint="eastAsia" w:ascii="Times New Roman" w:hAnsi="Times New Roman" w:eastAsia="仿宋_GB2312" w:cs="仿宋_GB2312"/>
          <w:sz w:val="32"/>
          <w:szCs w:val="32"/>
          <w:highlight w:val="none"/>
        </w:rPr>
        <w:t>强的</w:t>
      </w:r>
      <w:r>
        <w:rPr>
          <w:rFonts w:hint="eastAsia" w:ascii="Times New Roman" w:hAnsi="Times New Roman" w:eastAsia="仿宋_GB2312" w:cs="仿宋_GB2312"/>
          <w:kern w:val="2"/>
          <w:sz w:val="32"/>
          <w:szCs w:val="32"/>
          <w:highlight w:val="none"/>
          <w:lang w:val="en-US" w:eastAsia="zh-CN" w:bidi="ar-SA"/>
          <w14:ligatures w14:val="standardContextual"/>
        </w:rPr>
        <w:t>“低空经济技术研究院/创新中心”型产业学院</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与企业共</w:t>
      </w:r>
      <w:r>
        <w:rPr>
          <w:rFonts w:hint="eastAsia" w:ascii="Times New Roman" w:hAnsi="Times New Roman" w:eastAsia="仿宋_GB2312" w:cs="仿宋_GB2312"/>
          <w:sz w:val="32"/>
          <w:szCs w:val="32"/>
          <w:lang w:val="en-US" w:eastAsia="zh-CN"/>
        </w:rPr>
        <w:t>建实验室、工程技术中心、科技成果转化中心，开展关键</w:t>
      </w:r>
      <w:bookmarkStart w:id="0" w:name="_GoBack"/>
      <w:bookmarkEnd w:id="0"/>
      <w:r>
        <w:rPr>
          <w:rFonts w:hint="eastAsia" w:ascii="Times New Roman" w:hAnsi="Times New Roman" w:eastAsia="仿宋_GB2312" w:cs="仿宋_GB2312"/>
          <w:sz w:val="32"/>
          <w:szCs w:val="32"/>
          <w:lang w:val="en-US" w:eastAsia="zh-CN"/>
        </w:rPr>
        <w:t>技术攻关、原型系统开发适航技术研究等研究型工作</w:t>
      </w:r>
      <w:r>
        <w:rPr>
          <w:rFonts w:hint="eastAsia" w:ascii="Times New Roman" w:hAnsi="Times New Roman" w:eastAsia="仿宋_GB2312" w:cs="仿宋_GB2312"/>
          <w:sz w:val="32"/>
          <w:szCs w:val="32"/>
        </w:rPr>
        <w:t>。</w:t>
      </w:r>
    </w:p>
    <w:p w14:paraId="4A4EC3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形成可推广的融合创新机制与标准：探索建立“政府引导、校企主体、多元协同”的治理模式，形成一套资源共建共享、过程共管、成果共赢、责任共担的现代产业学院建设标准与运行规范，为深化产教融合提供范式参考。</w:t>
      </w:r>
    </w:p>
    <w:p w14:paraId="6F22A8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有效支撑区域经济与产业发展：深度融入地方低空经济发展布局，使产业学院成为区域关键的人才孵化中心、企业技术服务中心、产业升级助推器和创新文化辐射源。</w:t>
      </w:r>
    </w:p>
    <w:p w14:paraId="29F257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二、</w:t>
      </w:r>
      <w:r>
        <w:rPr>
          <w:rFonts w:hint="eastAsia" w:ascii="Times New Roman" w:hAnsi="Times New Roman" w:eastAsia="黑体" w:cs="黑体"/>
          <w:b w:val="0"/>
          <w:bCs w:val="0"/>
          <w:sz w:val="32"/>
          <w:szCs w:val="32"/>
        </w:rPr>
        <w:t>建设内容</w:t>
      </w:r>
    </w:p>
    <w:p w14:paraId="21D27A4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项目建设内容将对标教育部</w:t>
      </w:r>
      <w:r>
        <w:rPr>
          <w:rFonts w:hint="eastAsia" w:ascii="Times New Roman" w:hAnsi="Times New Roman" w:eastAsia="仿宋_GB2312" w:cs="仿宋_GB2312"/>
          <w:sz w:val="32"/>
          <w:szCs w:val="32"/>
          <w:lang w:val="en-US" w:eastAsia="zh-CN"/>
        </w:rPr>
        <w:t>最</w:t>
      </w:r>
      <w:r>
        <w:rPr>
          <w:rFonts w:hint="eastAsia" w:ascii="Times New Roman" w:hAnsi="Times New Roman" w:eastAsia="仿宋_GB2312" w:cs="仿宋_GB2312"/>
          <w:sz w:val="32"/>
          <w:szCs w:val="32"/>
        </w:rPr>
        <w:t>新发布的《普通高等学校本科专业目录（2025年）》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实施精准化建设。</w:t>
      </w:r>
    </w:p>
    <w:p w14:paraId="1456341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kern w:val="2"/>
          <w:sz w:val="32"/>
          <w:szCs w:val="32"/>
          <w:lang w:val="en-US" w:eastAsia="zh-CN" w:bidi="ar-SA"/>
          <w14:ligatures w14:val="standardContextual"/>
        </w:rPr>
        <w:t>（一）专业（群）建设</w:t>
      </w:r>
    </w:p>
    <w:p w14:paraId="254AA5D0">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kern w:val="2"/>
          <w:sz w:val="32"/>
          <w:szCs w:val="32"/>
          <w:lang w:val="en-US" w:eastAsia="zh-CN" w:bidi="ar-SA"/>
          <w14:ligatures w14:val="standardContextual"/>
        </w:rPr>
        <w:t>方向：</w:t>
      </w:r>
      <w:r>
        <w:rPr>
          <w:rFonts w:hint="eastAsia" w:ascii="Times New Roman" w:hAnsi="Times New Roman" w:eastAsia="仿宋_GB2312" w:cs="仿宋_GB2312"/>
          <w:kern w:val="2"/>
          <w:sz w:val="32"/>
          <w:szCs w:val="32"/>
          <w:lang w:val="en-US" w:eastAsia="zh-CN" w:bidi="ar-SA"/>
          <w14:ligatures w14:val="standardContextual"/>
        </w:rPr>
        <w:t>强化跨学科交叉，布局新兴专业，改造升级传统专业。</w:t>
      </w:r>
    </w:p>
    <w:p w14:paraId="4D414E61">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kern w:val="2"/>
          <w:sz w:val="32"/>
          <w:szCs w:val="32"/>
          <w:lang w:val="en-US" w:eastAsia="zh-CN" w:bidi="ar-SA"/>
          <w14:ligatures w14:val="standardContextual"/>
        </w:rPr>
        <w:t>举措：</w:t>
      </w:r>
      <w:r>
        <w:rPr>
          <w:rFonts w:hint="eastAsia" w:ascii="Times New Roman" w:hAnsi="Times New Roman" w:eastAsia="仿宋_GB2312" w:cs="仿宋_GB2312"/>
          <w:kern w:val="2"/>
          <w:sz w:val="32"/>
          <w:szCs w:val="32"/>
          <w:lang w:val="en-US" w:eastAsia="zh-CN" w:bidi="ar-SA"/>
          <w14:ligatures w14:val="standardContextual"/>
        </w:rPr>
        <w:t>重点支持申报与建设“低空技术与工程”（国家战略急需专业，已建立超常设置机制）、飞行器设计与工程、飞行器运维工程、智慧交通等本科专业；围绕“智能+航空”，推动航空航天类、交通运输类、自动化类、计算机类等专业交叉融合，形成“低空智能技术”“航空装备技术”等学科群；引导传统机械、电子、测绘等专业增设低空经济应用方向课程模块。</w:t>
      </w:r>
    </w:p>
    <w:p w14:paraId="071C5A4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kern w:val="2"/>
          <w:sz w:val="32"/>
          <w:szCs w:val="32"/>
          <w:lang w:val="en-US" w:eastAsia="zh-CN" w:bidi="ar-SA"/>
          <w14:ligatures w14:val="standardContextual"/>
        </w:rPr>
        <w:t>（二）人才培养模式</w:t>
      </w:r>
    </w:p>
    <w:p w14:paraId="35F0740E">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仿宋_GB2312"/>
          <w:kern w:val="2"/>
          <w:sz w:val="32"/>
          <w:szCs w:val="32"/>
          <w:lang w:val="en-US" w:eastAsia="en-US" w:bidi="ar-SA"/>
          <w14:ligatures w14:val="standardContextual"/>
        </w:rPr>
      </w:pPr>
      <w:r>
        <w:rPr>
          <w:rFonts w:hint="eastAsia" w:ascii="Times New Roman" w:hAnsi="Times New Roman" w:eastAsia="仿宋_GB2312" w:cs="仿宋_GB2312"/>
          <w:b/>
          <w:bCs/>
          <w:kern w:val="2"/>
          <w:sz w:val="32"/>
          <w:szCs w:val="32"/>
          <w:lang w:val="en-US" w:eastAsia="zh-CN" w:bidi="ar-SA"/>
          <w14:ligatures w14:val="standardContextual"/>
        </w:rPr>
        <w:t>模式：</w:t>
      </w:r>
      <w:r>
        <w:rPr>
          <w:rFonts w:hint="eastAsia" w:ascii="Times New Roman" w:hAnsi="Times New Roman" w:eastAsia="仿宋_GB2312" w:cs="仿宋_GB2312"/>
          <w:kern w:val="2"/>
          <w:sz w:val="32"/>
          <w:szCs w:val="32"/>
          <w:lang w:val="en-US" w:eastAsia="zh-CN" w:bidi="ar-SA"/>
          <w14:ligatures w14:val="standardContextual"/>
        </w:rPr>
        <w:t>“项目制、导师制、创新实践驱动”的深度科教融汇模式。</w:t>
      </w:r>
    </w:p>
    <w:p w14:paraId="7AE20E66">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仿宋_GB2312"/>
          <w:kern w:val="2"/>
          <w:sz w:val="32"/>
          <w:szCs w:val="32"/>
          <w:lang w:val="en-US" w:eastAsia="en-US" w:bidi="ar-SA"/>
          <w14:ligatures w14:val="standardContextual"/>
        </w:rPr>
      </w:pPr>
      <w:r>
        <w:rPr>
          <w:rFonts w:hint="eastAsia" w:ascii="Times New Roman" w:hAnsi="Times New Roman" w:eastAsia="仿宋_GB2312" w:cs="仿宋_GB2312"/>
          <w:b/>
          <w:bCs/>
          <w:kern w:val="2"/>
          <w:sz w:val="32"/>
          <w:szCs w:val="32"/>
          <w:lang w:val="en-US" w:eastAsia="zh-CN" w:bidi="ar-SA"/>
          <w14:ligatures w14:val="standardContextual"/>
        </w:rPr>
        <w:t>举措：</w:t>
      </w:r>
      <w:r>
        <w:rPr>
          <w:rFonts w:hint="eastAsia" w:ascii="Times New Roman" w:hAnsi="Times New Roman" w:eastAsia="仿宋_GB2312" w:cs="仿宋_GB2312"/>
          <w:kern w:val="2"/>
          <w:sz w:val="32"/>
          <w:szCs w:val="32"/>
          <w:lang w:val="en-US" w:eastAsia="zh-CN" w:bidi="ar-SA"/>
          <w14:ligatures w14:val="standardContextual"/>
        </w:rPr>
        <w:t>实施“超常规项目制”培养，参照国家人工智能学院模式，选拔优秀学生，打破学科边界，以真实研发项目为载体进行集中培养；将企业岗位标准、创新项目、学科竞赛（如挑战杯、无人机大赛）和行业认证（如CAAC执照）深度融入课程与评价体系；支持有条件的高校加强交通运输（航空方向）等学科建设，为申报相关博士点奠定基础，培养高层次科研型人才。</w:t>
      </w:r>
    </w:p>
    <w:p w14:paraId="0D1969D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kern w:val="2"/>
          <w:sz w:val="32"/>
          <w:szCs w:val="32"/>
          <w:lang w:val="en-US" w:eastAsia="zh-CN" w:bidi="ar-SA"/>
          <w14:ligatures w14:val="standardContextual"/>
        </w:rPr>
        <w:t>（三）实践教学体系</w:t>
      </w:r>
    </w:p>
    <w:p w14:paraId="0A1031EE">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仿宋_GB2312" w:cs="仿宋_GB2312"/>
          <w:kern w:val="2"/>
          <w:sz w:val="32"/>
          <w:szCs w:val="32"/>
          <w:lang w:val="en-US" w:eastAsia="en-US" w:bidi="ar-SA"/>
          <w14:ligatures w14:val="standardContextual"/>
        </w:rPr>
      </w:pPr>
      <w:r>
        <w:rPr>
          <w:rFonts w:hint="eastAsia" w:ascii="Times New Roman" w:hAnsi="Times New Roman" w:eastAsia="仿宋_GB2312" w:cs="仿宋_GB2312"/>
          <w:b/>
          <w:bCs/>
          <w:kern w:val="2"/>
          <w:sz w:val="32"/>
          <w:szCs w:val="32"/>
          <w:lang w:val="en-US" w:eastAsia="zh-CN" w:bidi="ar-SA"/>
          <w14:ligatures w14:val="standardContextual"/>
        </w:rPr>
        <w:t>平台：</w:t>
      </w:r>
      <w:r>
        <w:rPr>
          <w:rFonts w:hint="eastAsia" w:ascii="Times New Roman" w:hAnsi="Times New Roman" w:eastAsia="仿宋_GB2312" w:cs="仿宋_GB2312"/>
          <w:kern w:val="2"/>
          <w:sz w:val="32"/>
          <w:szCs w:val="32"/>
          <w:lang w:val="en-US" w:eastAsia="zh-CN" w:bidi="ar-SA"/>
          <w14:ligatures w14:val="standardContextual"/>
        </w:rPr>
        <w:t>建设“前沿技术研发与综合应用”并重的创新实践平台。</w:t>
      </w:r>
    </w:p>
    <w:p w14:paraId="7958ADA1">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仿宋_GB2312" w:cs="仿宋_GB2312"/>
          <w:kern w:val="2"/>
          <w:sz w:val="32"/>
          <w:szCs w:val="32"/>
          <w:lang w:val="en-US" w:eastAsia="en-US" w:bidi="ar-SA"/>
          <w14:ligatures w14:val="standardContextual"/>
        </w:rPr>
      </w:pPr>
      <w:r>
        <w:rPr>
          <w:rFonts w:hint="eastAsia" w:ascii="Times New Roman" w:hAnsi="Times New Roman" w:eastAsia="仿宋_GB2312" w:cs="仿宋_GB2312"/>
          <w:b/>
          <w:bCs/>
          <w:kern w:val="2"/>
          <w:sz w:val="32"/>
          <w:szCs w:val="32"/>
          <w:lang w:val="en-US" w:eastAsia="zh-CN" w:bidi="ar-SA"/>
          <w14:ligatures w14:val="standardContextual"/>
        </w:rPr>
        <w:t>举措：</w:t>
      </w:r>
      <w:r>
        <w:rPr>
          <w:rFonts w:hint="eastAsia" w:ascii="Times New Roman" w:hAnsi="Times New Roman" w:eastAsia="仿宋_GB2312" w:cs="仿宋_GB2312"/>
          <w:kern w:val="2"/>
          <w:sz w:val="32"/>
          <w:szCs w:val="32"/>
          <w:lang w:val="en-US" w:eastAsia="zh-CN" w:bidi="ar-SA"/>
          <w14:ligatures w14:val="standardContextual"/>
        </w:rPr>
        <w:t>联合龙头企业、科研院所共建“低空交通工程实验室”、飞行器仿真与测试实验室、空域智能管控技术实验室等；申请校园及周边专属实训空域，开展低空物流配送、校园安防等真实运营项目，实现“教学过程与生产流程”对接；依托大学科技园，建立低空经济孵化专区，支持学生创业。</w:t>
      </w:r>
    </w:p>
    <w:p w14:paraId="3B5B3CA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kern w:val="2"/>
          <w:sz w:val="32"/>
          <w:szCs w:val="32"/>
          <w:lang w:val="en-US" w:eastAsia="zh-CN" w:bidi="ar-SA"/>
          <w14:ligatures w14:val="standardContextual"/>
        </w:rPr>
        <w:t>（四）师资队伍建设</w:t>
      </w:r>
    </w:p>
    <w:p w14:paraId="1D7FA7B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kern w:val="2"/>
          <w:sz w:val="32"/>
          <w:szCs w:val="32"/>
          <w:lang w:val="en-US" w:eastAsia="zh-CN" w:bidi="ar-SA"/>
          <w14:ligatures w14:val="standardContextual"/>
        </w:rPr>
      </w:pPr>
      <w:r>
        <w:rPr>
          <w:rFonts w:hint="eastAsia" w:ascii="Times New Roman" w:hAnsi="Times New Roman" w:eastAsia="仿宋_GB2312" w:cs="仿宋_GB2312"/>
          <w:b/>
          <w:bCs/>
          <w:kern w:val="2"/>
          <w:sz w:val="32"/>
          <w:szCs w:val="32"/>
          <w:lang w:val="en-US" w:eastAsia="zh-CN" w:bidi="ar-SA"/>
          <w14:ligatures w14:val="standardContextual"/>
        </w:rPr>
        <w:t>重点：</w:t>
      </w:r>
      <w:r>
        <w:rPr>
          <w:rFonts w:hint="eastAsia" w:ascii="Times New Roman" w:hAnsi="Times New Roman" w:eastAsia="仿宋_GB2312" w:cs="仿宋_GB2312"/>
          <w:kern w:val="2"/>
          <w:sz w:val="32"/>
          <w:szCs w:val="32"/>
          <w:lang w:val="en-US" w:eastAsia="zh-CN" w:bidi="ar-SA"/>
          <w14:ligatures w14:val="standardContextual"/>
        </w:rPr>
        <w:t>打造“教授主导、项目实践牵引、产业专家融合共建”的高水平混编师资队伍，强化专业教学与产业技术体系的深度融合。</w:t>
      </w:r>
    </w:p>
    <w:p w14:paraId="1F51A6A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kern w:val="2"/>
          <w:sz w:val="32"/>
          <w:szCs w:val="32"/>
          <w:lang w:val="en-US" w:eastAsia="zh-CN" w:bidi="ar-SA"/>
          <w14:ligatures w14:val="standardContextual"/>
        </w:rPr>
        <w:t>举措：</w:t>
      </w:r>
      <w:r>
        <w:rPr>
          <w:rFonts w:hint="eastAsia" w:ascii="Times New Roman" w:hAnsi="Times New Roman" w:eastAsia="仿宋_GB2312" w:cs="仿宋_GB2312"/>
          <w:kern w:val="2"/>
          <w:sz w:val="32"/>
          <w:szCs w:val="32"/>
          <w:lang w:val="en-US" w:eastAsia="zh-CN" w:bidi="ar-SA"/>
          <w14:ligatures w14:val="standardContextual"/>
        </w:rPr>
        <w:t>引进行业知名企业技术负责人、首席工程师和重大项目负责人担任产业专家，深度参与人才培养全过程；实施专业教师去企业研修与挂职锻炼的刚性要求，参与真实工程项目、产品研发和系统集成，并将实践成果纳入年度考核与晋升评价体系；推动校内教师与产业专家组建教学与项目团队，共同开发工程化课程、项目化教材和实训任务，协同指导学生完成毕业设计和产业项目实践。</w:t>
      </w:r>
    </w:p>
    <w:p w14:paraId="0765CAA7">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三、建设步骤</w:t>
      </w:r>
    </w:p>
    <w:p w14:paraId="224FD2E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本项目采用“常态化申报、分批次建设、动态化管理”机制。</w:t>
      </w:r>
    </w:p>
    <w:p w14:paraId="40346D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申报与遴选：面向全国高校发布项目</w:t>
      </w:r>
      <w:r>
        <w:rPr>
          <w:rFonts w:hint="eastAsia" w:ascii="Times New Roman" w:hAnsi="Times New Roman" w:eastAsia="仿宋_GB2312" w:cs="仿宋_GB2312"/>
          <w:sz w:val="32"/>
          <w:szCs w:val="32"/>
          <w:lang w:val="en-US" w:eastAsia="zh-CN"/>
        </w:rPr>
        <w:t>方案</w:t>
      </w:r>
      <w:r>
        <w:rPr>
          <w:rFonts w:hint="eastAsia" w:ascii="Times New Roman" w:hAnsi="Times New Roman" w:eastAsia="仿宋_GB2312" w:cs="仿宋_GB2312"/>
          <w:sz w:val="32"/>
          <w:szCs w:val="32"/>
        </w:rPr>
        <w:t>。院校依据自身基础与区域产业需求提交申报材料。项目专家组进行综合</w:t>
      </w:r>
      <w:r>
        <w:rPr>
          <w:rFonts w:hint="eastAsia" w:ascii="Times New Roman" w:hAnsi="Times New Roman" w:eastAsia="仿宋_GB2312" w:cs="仿宋_GB2312"/>
          <w:sz w:val="32"/>
          <w:szCs w:val="32"/>
          <w:lang w:val="en-US" w:eastAsia="zh-CN"/>
        </w:rPr>
        <w:t>审核</w:t>
      </w:r>
      <w:r>
        <w:rPr>
          <w:rFonts w:hint="eastAsia" w:ascii="Times New Roman" w:hAnsi="Times New Roman" w:eastAsia="仿宋_GB2312" w:cs="仿宋_GB2312"/>
          <w:sz w:val="32"/>
          <w:szCs w:val="32"/>
        </w:rPr>
        <w:t>，择优确定共建院校。</w:t>
      </w:r>
    </w:p>
    <w:p w14:paraId="0FA3AB7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共建与启动：签署共建协议，成立产业学院理事会与管理机构，明确权责与运行机制，全面展开首批专业建设与招生培养工作。</w:t>
      </w:r>
    </w:p>
    <w:p w14:paraId="0D9BDE1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建设与</w:t>
      </w:r>
      <w:r>
        <w:rPr>
          <w:rFonts w:hint="eastAsia" w:ascii="Times New Roman" w:hAnsi="Times New Roman" w:eastAsia="仿宋_GB2312" w:cs="仿宋_GB2312"/>
          <w:sz w:val="32"/>
          <w:szCs w:val="32"/>
          <w:lang w:val="en-US" w:eastAsia="zh-CN"/>
        </w:rPr>
        <w:t>跟进</w:t>
      </w:r>
      <w:r>
        <w:rPr>
          <w:rFonts w:hint="eastAsia" w:ascii="Times New Roman" w:hAnsi="Times New Roman" w:eastAsia="仿宋_GB2312" w:cs="仿宋_GB2312"/>
          <w:sz w:val="32"/>
          <w:szCs w:val="32"/>
        </w:rPr>
        <w:t>：全面推进各项建设任务。项目组组织中期检查与交流，</w:t>
      </w:r>
      <w:r>
        <w:rPr>
          <w:rFonts w:hint="eastAsia" w:ascii="Times New Roman" w:hAnsi="Times New Roman" w:eastAsia="仿宋_GB2312" w:cs="仿宋_GB2312"/>
          <w:sz w:val="32"/>
          <w:szCs w:val="32"/>
          <w:lang w:val="en-US" w:eastAsia="zh-CN"/>
        </w:rPr>
        <w:t>跟进</w:t>
      </w:r>
      <w:r>
        <w:rPr>
          <w:rFonts w:hint="eastAsia" w:ascii="Times New Roman" w:hAnsi="Times New Roman" w:eastAsia="仿宋_GB2312" w:cs="仿宋_GB2312"/>
          <w:sz w:val="32"/>
          <w:szCs w:val="32"/>
        </w:rPr>
        <w:t>建设成效，提供精准指导与资源调剂，确保建设方向与质量。</w:t>
      </w:r>
    </w:p>
    <w:p w14:paraId="1F137EB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验收与推广：对建设期满的项目进行终期验收，</w:t>
      </w:r>
      <w:r>
        <w:rPr>
          <w:rFonts w:hint="eastAsia" w:ascii="Times New Roman" w:hAnsi="Times New Roman" w:eastAsia="仿宋_GB2312" w:cs="仿宋_GB2312"/>
          <w:sz w:val="32"/>
          <w:szCs w:val="32"/>
          <w:lang w:val="en-US" w:eastAsia="zh-CN"/>
        </w:rPr>
        <w:t>总结</w:t>
      </w:r>
      <w:r>
        <w:rPr>
          <w:rFonts w:hint="eastAsia" w:ascii="Times New Roman" w:hAnsi="Times New Roman" w:eastAsia="仿宋_GB2312" w:cs="仿宋_GB2312"/>
          <w:sz w:val="32"/>
          <w:szCs w:val="32"/>
        </w:rPr>
        <w:t>优秀示范案例。系统总结建设经验与模式，通过成果发布会、经验交流会等形式在全国范围内宣传推广，形成持续影响力</w:t>
      </w:r>
    </w:p>
    <w:p w14:paraId="4696E2B4">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四、申报条件</w:t>
      </w:r>
    </w:p>
    <w:p w14:paraId="7E3F232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战略定位清晰：学校高度重视，将产业学院建设纳入学校发展整体规划，有明确的服务面向和与区域低空经济特色（如物流、文旅、安防、测绘、智能制造等）紧密结合的建设定位。</w:t>
      </w:r>
    </w:p>
    <w:p w14:paraId="1E39454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专业基础良好：已开设航空航天类、交通运输类、自动化类、电子信息类、计算机科学与技术类、机械类等相关专业（群），具备良好的学科专业积淀。</w:t>
      </w:r>
    </w:p>
    <w:p w14:paraId="5D95EC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产教融合深入：与低空经济领域骨干企业、行业协会、地方政府或产业园区已建立实质性合作关系，拥有共建基地、合作项目或联合培养的良好基础。</w:t>
      </w:r>
    </w:p>
    <w:p w14:paraId="7C2D98A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保障条件有力：能够为产业学院建设提供配套的经费、场地（特别是可用于实训的户外空间）、师资及灵活的体制机制保障。</w:t>
      </w:r>
    </w:p>
    <w:p w14:paraId="3D260CF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改革意愿强烈：勇于在治理结构、人才培养模式、师资评聘、考核评价等方面进行创新改革，积极探索混合所有制等办学新路径。</w:t>
      </w:r>
    </w:p>
    <w:p w14:paraId="238DA91E">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五、支持与保障措施</w:t>
      </w:r>
    </w:p>
    <w:p w14:paraId="072114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为保障项目高质量实施，将构建全方位的支持体系：</w:t>
      </w:r>
    </w:p>
    <w:p w14:paraId="0801B4C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政策与标准引领：联合行业主管部门，推动将新行业标准、职业资格认证融入教学体系。探索建立跨校学分互认与学习成果认证机制，增强人才培养的适应性与规范性。</w:t>
      </w:r>
    </w:p>
    <w:p w14:paraId="492035C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合规与风险控制：项目建设过程中，将严格遵守国家关于空域管理、无人机运行、数据安全与教学活动的相关法律法规。涉及实飞训练的，须在合法空域、依法报备前提下实施，严禁以教学名义开展违规飞行活动，确保安全底线与合规底线。</w:t>
      </w:r>
    </w:p>
    <w:p w14:paraId="5A68B37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核心资源注入：导入合作企业的先进技术体系、真实项目案例、模拟仿真平台及产业数据资源，共建共享高水平课程资源库、实训项目库与专家资源库。</w:t>
      </w:r>
    </w:p>
    <w:p w14:paraId="1D81AB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专家智库支撑：组建由教育名家、产业领军人物、技术专家构成的项目专家委员会，提供从方案设计到验收评估的全过程、专业化咨询与指导。</w:t>
      </w:r>
    </w:p>
    <w:p w14:paraId="04CA477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国际交流平台：依托国际合作渠道，为项目院校提供海外研修、国际</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人才培养</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教学标准输出，</w:t>
      </w:r>
      <w:r>
        <w:rPr>
          <w:rFonts w:hint="eastAsia" w:ascii="Times New Roman" w:hAnsi="Times New Roman" w:eastAsia="仿宋_GB2312" w:cs="仿宋_GB2312"/>
          <w:color w:val="000000" w:themeColor="text1"/>
          <w:sz w:val="32"/>
          <w:szCs w:val="32"/>
          <w14:textFill>
            <w14:solidFill>
              <w14:schemeClr w14:val="tx1"/>
            </w14:solidFill>
          </w14:textFill>
        </w:rPr>
        <w:t>参加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国际会议</w:t>
      </w:r>
      <w:r>
        <w:rPr>
          <w:rFonts w:hint="eastAsia" w:ascii="Times New Roman" w:hAnsi="Times New Roman" w:eastAsia="仿宋_GB2312" w:cs="仿宋_GB2312"/>
          <w:color w:val="000000" w:themeColor="text1"/>
          <w:sz w:val="32"/>
          <w:szCs w:val="32"/>
          <w14:textFill>
            <w14:solidFill>
              <w14:schemeClr w14:val="tx1"/>
            </w14:solidFill>
          </w14:textFill>
        </w:rPr>
        <w:t>等机会，培养具备全球视野的产业人才。</w:t>
      </w:r>
    </w:p>
    <w:p w14:paraId="6726A72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成果推广与联盟协作：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项目同步为地方政府提供低空经济规划咨询、技术验证与人才储备支持，推动形成“学院—城市—场景—产业”的协同发展闭环。</w:t>
      </w:r>
    </w:p>
    <w:p w14:paraId="0F14345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A1ED3A-1FC1-48BD-BA14-9BA82ED98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C671886B-23AC-473D-A3B2-AD38730AC335}"/>
  </w:font>
  <w:font w:name="方正小标宋简体">
    <w:panose1 w:val="03000509000000000000"/>
    <w:charset w:val="86"/>
    <w:family w:val="auto"/>
    <w:pitch w:val="default"/>
    <w:sig w:usb0="00000001" w:usb1="080E0000" w:usb2="00000000" w:usb3="00000000" w:csb0="00040000" w:csb1="00000000"/>
    <w:embedRegular r:id="rId3" w:fontKey="{8770434C-710C-44BB-83B7-D66EF2EA40F7}"/>
  </w:font>
  <w:font w:name="仿宋_GB2312">
    <w:panose1 w:val="02010609030101010101"/>
    <w:charset w:val="86"/>
    <w:family w:val="auto"/>
    <w:pitch w:val="default"/>
    <w:sig w:usb0="00000001" w:usb1="080E0000" w:usb2="00000000" w:usb3="00000000" w:csb0="00040000" w:csb1="00000000"/>
    <w:embedRegular r:id="rId4" w:fontKey="{224217C1-21D6-4395-B9EF-51A46176EC0C}"/>
  </w:font>
  <w:font w:name="WPSEMBED1">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4DC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A1DA47">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A1DA47">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OWYzYWE5MDNkMDEyZDg5YmJkYTRhMTAzYzgyZDgifQ=="/>
  </w:docVars>
  <w:rsids>
    <w:rsidRoot w:val="00084115"/>
    <w:rsid w:val="00084115"/>
    <w:rsid w:val="003D4871"/>
    <w:rsid w:val="00D02500"/>
    <w:rsid w:val="00D80396"/>
    <w:rsid w:val="00E43495"/>
    <w:rsid w:val="04991BD2"/>
    <w:rsid w:val="18546876"/>
    <w:rsid w:val="1D903E12"/>
    <w:rsid w:val="20EA55E7"/>
    <w:rsid w:val="21CE1E14"/>
    <w:rsid w:val="224A458F"/>
    <w:rsid w:val="23AD1369"/>
    <w:rsid w:val="26D905D7"/>
    <w:rsid w:val="2A7F4FF2"/>
    <w:rsid w:val="2B8950A0"/>
    <w:rsid w:val="2C217C24"/>
    <w:rsid w:val="2F601896"/>
    <w:rsid w:val="30470360"/>
    <w:rsid w:val="333D64BA"/>
    <w:rsid w:val="392C4F60"/>
    <w:rsid w:val="3D5855B3"/>
    <w:rsid w:val="428477CA"/>
    <w:rsid w:val="456450B8"/>
    <w:rsid w:val="46AE0F59"/>
    <w:rsid w:val="47DE1152"/>
    <w:rsid w:val="48561630"/>
    <w:rsid w:val="49DC0CBB"/>
    <w:rsid w:val="4AD50ED2"/>
    <w:rsid w:val="4DD54896"/>
    <w:rsid w:val="4EC56056"/>
    <w:rsid w:val="50E84DEF"/>
    <w:rsid w:val="56275448"/>
    <w:rsid w:val="56B714EC"/>
    <w:rsid w:val="59305585"/>
    <w:rsid w:val="5BE976A8"/>
    <w:rsid w:val="5EA95E39"/>
    <w:rsid w:val="5EE814B2"/>
    <w:rsid w:val="67D6379C"/>
    <w:rsid w:val="6B5A7584"/>
    <w:rsid w:val="6C0A66F3"/>
    <w:rsid w:val="7241451B"/>
    <w:rsid w:val="736D3206"/>
    <w:rsid w:val="7CC318AC"/>
    <w:rsid w:val="7CE9072A"/>
    <w:rsid w:val="7DD37C73"/>
    <w:rsid w:val="BD3E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黑体" w:hAnsi="黑体" w:eastAsia="黑体" w:cs="黑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2593</Words>
  <Characters>2605</Characters>
  <Lines>30</Lines>
  <Paragraphs>8</Paragraphs>
  <TotalTime>2</TotalTime>
  <ScaleCrop>false</ScaleCrop>
  <LinksUpToDate>false</LinksUpToDate>
  <CharactersWithSpaces>2605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2025-12-25T16:46:00Z</dcterms:created>
  <dc:creator>菁菁 韩</dc:creator>
  <cp:lastModifiedBy>广平君</cp:lastModifiedBy>
  <dcterms:modified xsi:type="dcterms:W3CDTF">2026-01-30T09:01:35Z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eyJoZGlkIjoiMzg3MTdmZWE5ZWQ0MjQ1NGIzZWM5MmY0NjlkN2JlMjYiLCJ1c2VySWQiOiI0NjU3MzE5NjQifQ==</vt:lpwstr>
  </property>
  <property fmtid="{D5CDD505-2E9C-101B-9397-08002B2CF9AE}" pid="3" name="KSOProductBuildVer">
    <vt:lpwstr>2052-12.1.0.24657</vt:lpwstr>
  </property>
  <property fmtid="{D5CDD505-2E9C-101B-9397-08002B2CF9AE}" pid="4" name="ICV">
    <vt:lpwstr>30EC7E21944B4EBF9F4BD6A98C3A7685_13</vt:lpwstr>
  </property>
</Properties>
</file>